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B69" w:rsidRDefault="008E4B69" w:rsidP="00E754E3">
      <w:pPr>
        <w:autoSpaceDE w:val="0"/>
        <w:autoSpaceDN w:val="0"/>
        <w:adjustRightInd w:val="0"/>
        <w:spacing w:after="0" w:line="240" w:lineRule="auto"/>
        <w:rPr>
          <w:rFonts w:ascii="Lato-Bold" w:hAnsi="Lato-Bold" w:cs="Lato-Bold"/>
          <w:b/>
          <w:bCs/>
          <w:color w:val="000000"/>
        </w:rPr>
      </w:pPr>
    </w:p>
    <w:p w:rsidR="008E4B69" w:rsidRDefault="008E4B69" w:rsidP="008E4B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Wyjaśnienia do Priorytetów Ministra ds. Pracy w zakresie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wydatkowania środków KFS  na 2025 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E4B69" w:rsidRDefault="008E4B69" w:rsidP="00E754E3">
      <w:pPr>
        <w:autoSpaceDE w:val="0"/>
        <w:autoSpaceDN w:val="0"/>
        <w:adjustRightInd w:val="0"/>
        <w:spacing w:after="0" w:line="240" w:lineRule="auto"/>
        <w:rPr>
          <w:rFonts w:ascii="Lato-Bold" w:hAnsi="Lato-Bold" w:cs="Lato-Bold"/>
          <w:b/>
          <w:bCs/>
          <w:color w:val="000000"/>
        </w:rPr>
      </w:pPr>
    </w:p>
    <w:p w:rsidR="008E4B69" w:rsidRDefault="008E4B69" w:rsidP="00E754E3">
      <w:pPr>
        <w:autoSpaceDE w:val="0"/>
        <w:autoSpaceDN w:val="0"/>
        <w:adjustRightInd w:val="0"/>
        <w:spacing w:after="0" w:line="240" w:lineRule="auto"/>
        <w:rPr>
          <w:rFonts w:ascii="Lato-Bold" w:hAnsi="Lato-Bold" w:cs="Lato-Bold"/>
          <w:b/>
          <w:bCs/>
          <w:color w:val="000000"/>
        </w:rPr>
      </w:pPr>
    </w:p>
    <w:p w:rsidR="002669C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754E3">
        <w:rPr>
          <w:rFonts w:ascii="Times New Roman" w:hAnsi="Times New Roman" w:cs="Times New Roman"/>
          <w:b/>
          <w:bCs/>
          <w:color w:val="000000"/>
        </w:rPr>
        <w:t>Priorytet nr 1 Wsparcie rozwoju umiejętności i kwalifikacji w zawodach określonych</w:t>
      </w:r>
      <w:r w:rsidR="002669C3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E754E3" w:rsidRDefault="002669C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jako </w:t>
      </w:r>
      <w:bookmarkStart w:id="0" w:name="_GoBack"/>
      <w:bookmarkEnd w:id="0"/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deficytowe na danym terenie tj. w powiecie czy województwie 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E754E3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="00E754E3" w:rsidRPr="00E754E3">
        <w:rPr>
          <w:rFonts w:ascii="Times New Roman" w:hAnsi="Times New Roman" w:cs="Times New Roman"/>
          <w:color w:val="000000"/>
        </w:rPr>
        <w:t>Przyjęte sformułowanie niniejszego priorytetu pozwala na sfinansowanie kształcenia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 xml:space="preserve">ustawicznego w zakresie umiejętności </w:t>
      </w:r>
      <w:proofErr w:type="spellStart"/>
      <w:r w:rsidRPr="00E754E3">
        <w:rPr>
          <w:rFonts w:ascii="Times New Roman" w:hAnsi="Times New Roman" w:cs="Times New Roman"/>
          <w:color w:val="000000"/>
        </w:rPr>
        <w:t>ogólno</w:t>
      </w:r>
      <w:proofErr w:type="spellEnd"/>
      <w:r w:rsidRPr="00E754E3">
        <w:rPr>
          <w:rFonts w:ascii="Times New Roman" w:hAnsi="Times New Roman" w:cs="Times New Roman"/>
          <w:color w:val="000000"/>
        </w:rPr>
        <w:t>-zawodowych (w tym tzw. kompetencji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miękkich), o ile powiązane są one z wykonywaniem pracy w zawodzie deficytowym.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Należy zwrócić uwagę, że granica pomiędzy szkoleniami zawodowymi a tzw. „miękkimi” nie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jest jednoznaczna. Przykładowo: szkolenie dotyczące umiejętności autoprezentacji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i nawiązywania kontaktów interpersonalnych dla sprzedawcy czy agenta nieruchomości jest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jak najbardziej szkoleniem zawodowym. Podobnie przy szkoleniach językowych –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przykładowo dla kierowcy TIR-a jeżdżącego na trasach międzynarodowych kurs języka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obcego jest szkoleniem zawodowym. W takich przypadkach kluczową rolę odgrywa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uzasadnienie odbycia szkolenia i na tej podstawie powiatowy urząd pracy będzie mógł podjąć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decyzję co do przyznania dofinansowania.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Wnioskodawca, który chce spełnić wymagania niniejszego priorytetu powinien udowodnić,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że wskazana forma kształcenia ustawicznego dotyczy zawodu deficytowego na terenie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danego powiatu bądź województwa. Oznacza to zawód zidentyfikowany jako deficytowy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 oparciu o wyniki najbardziej aktualnych badań/ analiz, takich jak np.: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„Barometr zawodów”,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„Zarejestrowani bezrobotni oraz wolne miejsca pracy i miejsca aktywizacji zawodowej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według zawodów i specjalności (…)”,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badania realizowane przez same urzędy ze środków KFS lub w ramach projektów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finansowanych z EFS, w tym także badania dotyczące perspektyw rozwoju branż,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plany i strategie rozwoju (np. planowane inwestycje strategiczne).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Urząd pracy przed ogłoszeniem naboru wniosków powinien zdecydować, czy będzie brał pod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uwagę sytuację tylko terenu powiatu czy całego województwa oraz wybrać konkretne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badania, na które będzie powoływał się przy ocenie składanych wniosków.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Wyniki badań, które powiatowy urząd pracy będzie wykorzystywał przy analizie wniosków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pracodawców powinny być ogólnodostępne. Pracodawcy powinni mieć możliwość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zapoznania się z nimi najpóźniej w momencie ogłoszenia naboru wniosków.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Urząd pracy w momencie ogłaszania naboru wniosków powinien wskazać ścieżkę dostępu do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danych, które będą podstawą do oceny, czy wniosek dotyczy zawodów, na które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obserwowane jest i będzie zapotrzebowanie.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Pracodawca wnioskujący o dofinansowanie kształcenia ustawicznego pracowników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zatrudnionych na terenie innego powiatu lub województwa niż siedziba powiatowego urzędu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pracy, w którym składany jest wniosek o dofinansowanie, powinien wykazać, że zawód jest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deficytowy dla miejsca wykonywania pracy. PUP powinien określić przy naborze czy będzie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analizował sytuację powiatu czy województwa właściwego dla wykonywania pracy.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 dofinansowanych form kształcenia ustawicznego w ramach tego priorytetu mogą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skorzystać zarówno osoby pracujące w zawodach określonych jako deficytowe jak i osoby</w:t>
      </w:r>
    </w:p>
    <w:p w:rsid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zamierzające wykonywać zadania związane z zawodem deficytowym w przyszłości.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669C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754E3">
        <w:rPr>
          <w:rFonts w:ascii="Times New Roman" w:hAnsi="Times New Roman" w:cs="Times New Roman"/>
          <w:b/>
          <w:bCs/>
          <w:color w:val="000000"/>
        </w:rPr>
        <w:t>Priorytet nr 2 Wsparcie rozwoju umiejętności i kwalifikacji w związku z</w:t>
      </w:r>
      <w:r w:rsidR="002669C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754E3">
        <w:rPr>
          <w:rFonts w:ascii="Times New Roman" w:hAnsi="Times New Roman" w:cs="Times New Roman"/>
          <w:b/>
          <w:bCs/>
          <w:color w:val="000000"/>
        </w:rPr>
        <w:t xml:space="preserve">zastosowaniem </w:t>
      </w:r>
    </w:p>
    <w:p w:rsidR="00E754E3" w:rsidRDefault="002669C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>w firmach nowych procesów, technologii i narzędzi pracy</w:t>
      </w:r>
      <w:r>
        <w:rPr>
          <w:rFonts w:ascii="Times New Roman" w:hAnsi="Times New Roman" w:cs="Times New Roman"/>
          <w:b/>
          <w:bCs/>
          <w:color w:val="000000"/>
        </w:rPr>
        <w:t>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E754E3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="00E754E3" w:rsidRPr="00E754E3">
        <w:rPr>
          <w:rFonts w:ascii="Times New Roman" w:hAnsi="Times New Roman" w:cs="Times New Roman"/>
          <w:color w:val="000000"/>
        </w:rPr>
        <w:t>Należy pamiętać, że przez „nowe procesy, technologie czy narzędzia pracy” w niniejszym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priorytecie należy rozumieć procesy, technologie, maszyny czy rozwiązania nowe dla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wnioskodawcy a nie dla całego rynku. Przykładowo maszyna istniejąca na rynku od bardzo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lastRenderedPageBreak/>
        <w:t>wielu lat, ale niewykorzystywana do tej pory w firmie wnioskodawcy, jest w jego przypadku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„nową technologią czy narzędziem pracy”. Pod pojęciem procesów należy rozumieć zaś serię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powiązanych ze sobą działań lub zadań, które rozwiązują problem lub prowadzą do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osiągnięcia określonego efektu. Przykładowymi kategoriami procesów biznesowych są: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proces zarządczy (który kieruje działaniem systemu, np. zarządzanie przedsiębiorstwem lub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zarządzanie strategiczne), proces operacyjny (który dotyczy istoty biznesu i źródła wartości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dodanej, np. zaopatrzenie, produkcja, marketing, sprzedaż), proces pomocniczy (który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wspiera procesy główne, np. księgowość, rekrutacja, wsparcie techniczne) -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https://www.gov.pl/web/popcwsparcie/zarzadzanie-procesami-biznesowymi-bpm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Wnioskodawca, który chce spełnić wymagania priorytetu powinien udowodnić, że w ciągu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jednego roku przed złożeniem wniosku bądź w ciągu trzech miesięcy po jego złożeniu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zostały/zostaną zakupione nowe maszyny i narzędzia, bądź zostały/będą wdrożone nowe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procesy, technologie i systemy, a osoby objęte kształceniem ustawicznym będą wykonywać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nowe zadania związane z wprowadzonymi/ planowanymi do wprowadzenia zmianami.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Należy jednak pamiętać, że wskazane wyżej terminy nie są sztywne. Ostateczna decyzja w tej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sprawie należy do urzędu pracy i zależy przede wszystkim od jednostkowej oceny sytuacji (np.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termin dostawy sprzętu, dostępne terminy szkolenia).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Nie przygotowano zamkniętej listy dokumentów, na podstawie których powiatowy urząd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pracy ma zdecydować, czy złożony wniosek wpisuje się w priorytet. Stosowna decyzja ma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zostać podjęta na podstawie jakiegokolwiek wiarygodnego dla urzędu dokumentu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dostarczonego przez wnioskodawcę, np. kopii dokumentów zakupu, decyzji dyrektora/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zarządu o wprowadzeniu norm ISO, itp., oraz logicznego i wiarygodnego uzasadnienia.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Decyzja należy do urzędu, który w momencie ogłaszania naboru wniosków określa, jakiego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rodzaju dokumenty są wymagane.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Wsparciem kształcenia ustawicznego w ramach priorytetu można objąć jedynie osobę, która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 ramach wykonywania swoich zadań zawodowych/ na stanowisku pracy korzysta lub będzie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korzystała z nowych technologii i narzędzi pracy lub która wymaga nabycia nowych</w:t>
      </w:r>
    </w:p>
    <w:p w:rsid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kompetencji niezbędnych do wykonywania pracy w związku z wdrożeniem nowego procesu.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669C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754E3">
        <w:rPr>
          <w:rFonts w:ascii="Times New Roman" w:hAnsi="Times New Roman" w:cs="Times New Roman"/>
          <w:b/>
          <w:bCs/>
          <w:color w:val="000000"/>
        </w:rPr>
        <w:t>Priorytet nr 3 Wsparcie kształcenia ustawicznego pracodawców i ich pracowników</w:t>
      </w:r>
      <w:r w:rsidR="002669C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754E3">
        <w:rPr>
          <w:rFonts w:ascii="Times New Roman" w:hAnsi="Times New Roman" w:cs="Times New Roman"/>
          <w:b/>
          <w:bCs/>
          <w:color w:val="000000"/>
        </w:rPr>
        <w:t>zgodnie</w:t>
      </w:r>
    </w:p>
    <w:p w:rsidR="00E754E3" w:rsidRPr="00E754E3" w:rsidRDefault="002669C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 z potrzebami szkoleniowymi, które pojawiły się na terenach dotkniętych przez</w:t>
      </w:r>
    </w:p>
    <w:p w:rsidR="00E754E3" w:rsidRDefault="002669C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>powódź we wrześniu 2024 roku.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Priorytet powyższy oferuje wsparcie pracodawcom prowadzącym działalność na terenach,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na których obowiązuje rozporządzenie Rady Ministrów z 16 września 2024 roku w sprawie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wykazu gmin, w których są stosowane szczególne rozwiązania związane z usuwaniem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skutków powodzi z września 2024 r., oraz rozwiązań stosowanych na ich terenie (Dz. U. 2024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poz. 1371).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Przywołane rozporządzenie dotyczy następujących gmin: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1) w województwie dolnośląskim: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wszystkie gminy położone na terenie powiatów bolesławieckiego,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dzierżoniowskiego, jaworskiego, kamiennogórskiego, karkonoskiego,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kłodzkiego, legnickiego, lubańskiego, lwóweckiego, średzkiego, świdnickiego,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wałbrzyskiego, wołowskiego, ząbkowickiego, zgorzeleckiego i złotoryjskiego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oraz miasta na prawach powiatu Jelenia Góra, Legnica i Wałbrzych,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głogowskim - gmina miejska Głogów, gmina wiejska Głogów, gmina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Kotla, gmina Pęcław i gmina Żukowice,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górowskim - gmina Jemielno,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lubińskim - miasto i gmina Ścinawa,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oławskim - gmina miejska Oława i gmina wiejska Oława,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strzelińskim - gmina Strzelin,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wrocławskim - gmina Kąty Wrocławskie, gmina Mietków i gmina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Sobótka;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2) w województwie lubuskim:</w:t>
      </w:r>
    </w:p>
    <w:p w:rsidR="00E754E3" w:rsidRPr="008E4B69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lastRenderedPageBreak/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krośnieńskim - gmina Dąbie i gmina Krosno Odrzańskie,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nowosolskim - gmina Bytom Odrzański, gmina Kolsko, gmina miejska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Nowa Sól, gmina wiejska Nowa Sól, gmina Otyń i gmina Siedlisko,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słubickim - gmina Cybinka i gmina Słubice,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w powiecie wschowskim - gmina Szlichtyngowa,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e) w powiecie zielonogórskim - gmina Bojadła, gmina Czerwieńsk, gmina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Nowogród Bobrzański, gmina Sulechów, gmina Trzebiechów i gmina Zabór,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Segoe UI Symbol" w:hAnsi="Segoe UI Symbol" w:cs="Segoe UI Symbol"/>
          <w:color w:val="212529"/>
        </w:rPr>
        <w:t>✓</w:t>
      </w:r>
      <w:r w:rsidRPr="00E754E3">
        <w:rPr>
          <w:rFonts w:ascii="Times New Roman" w:hAnsi="Times New Roman" w:cs="Times New Roman"/>
          <w:color w:val="212529"/>
        </w:rPr>
        <w:t xml:space="preserve"> f) w powiecie żagańskim - gmina miejsko-wiejska Szprotawa i gmina wiejska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Żagań oraz miasto Małomice i miasto Żagań;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3) w województwie opolskim - wszystkie gminy położone na terenie powiatów brzeskiego,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głubczyckiego, kędzierzyńsko-kozielskiego, krapkowickiego, nyskiego, opolskiego 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prudnickiego;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4) w województwie śląskim - wszystkie gminy położone na terenie powiatów bielskiego,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529"/>
        </w:rPr>
      </w:pPr>
      <w:r w:rsidRPr="00E754E3">
        <w:rPr>
          <w:rFonts w:ascii="Times New Roman" w:hAnsi="Times New Roman" w:cs="Times New Roman"/>
          <w:color w:val="212529"/>
        </w:rPr>
        <w:t>cieszyńskiego, pszczyńskiego i raciborskiego oraz miasto na prawach powiatu Bielsko-Biała.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Nie ma żadnych ograniczeń co do tematu czy obszaru wybranych form kształcenia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ustawicznego. Dofinansowane formy kształcenia ustawicznego mają wspomagać wprowadzenie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zmian umożliwiających utrzymanie się na rynku czy pozwalających uniknąć zwolnień czy wręcz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zatrudnić nowych pracowników.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Warunkiem skorzystania ze środków priorytetu jest prowadzenie działalności na terenie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którejkolwiek z gmin z wykazu oraz oświadczenie pracodawcy o konieczności nabycia nowych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umiejętności czy kwalifikacji w związku z rozszerzeniem/ przekwalifikowaniem obszaru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działalności firmy z powołaniem się na odpowiedni przepis. Nie ma potrzeby żądać dokumentów</w:t>
      </w:r>
    </w:p>
    <w:p w:rsid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finansowych potwierdzających spadek obrotów itp.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754E3">
        <w:rPr>
          <w:rFonts w:ascii="Times New Roman" w:hAnsi="Times New Roman" w:cs="Times New Roman"/>
          <w:b/>
          <w:bCs/>
          <w:color w:val="000000"/>
        </w:rPr>
        <w:t>Priorytet nr 4 Poprawa zarządzania i komunikacji w firmie w oparciu o zasady</w:t>
      </w:r>
    </w:p>
    <w:p w:rsidR="00E754E3" w:rsidRPr="00E754E3" w:rsidRDefault="002669C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p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rzeciwdziałania dyskryminacji i </w:t>
      </w:r>
      <w:proofErr w:type="spellStart"/>
      <w:r w:rsidR="00E754E3" w:rsidRPr="00E754E3">
        <w:rPr>
          <w:rFonts w:ascii="Times New Roman" w:hAnsi="Times New Roman" w:cs="Times New Roman"/>
          <w:b/>
          <w:bCs/>
          <w:color w:val="000000"/>
        </w:rPr>
        <w:t>mobbingowi</w:t>
      </w:r>
      <w:proofErr w:type="spellEnd"/>
      <w:r w:rsidR="00E754E3" w:rsidRPr="00E754E3">
        <w:rPr>
          <w:rFonts w:ascii="Times New Roman" w:hAnsi="Times New Roman" w:cs="Times New Roman"/>
          <w:b/>
          <w:bCs/>
          <w:color w:val="000000"/>
        </w:rPr>
        <w:t>, rozwoju dialogu społecznego,</w:t>
      </w:r>
    </w:p>
    <w:p w:rsidR="00E754E3" w:rsidRDefault="002669C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>partycypacji pracowniczej i wspierania integracji w miejscu pracy</w:t>
      </w:r>
      <w:r>
        <w:rPr>
          <w:rFonts w:ascii="Times New Roman" w:hAnsi="Times New Roman" w:cs="Times New Roman"/>
          <w:b/>
          <w:bCs/>
          <w:color w:val="000000"/>
        </w:rPr>
        <w:t>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E754E3">
        <w:rPr>
          <w:rFonts w:ascii="Times New Roman" w:hAnsi="Times New Roman" w:cs="Times New Roman"/>
          <w:color w:val="000000"/>
        </w:rPr>
        <w:t>Mobbing</w:t>
      </w:r>
      <w:proofErr w:type="spellEnd"/>
      <w:r w:rsidRPr="00E754E3">
        <w:rPr>
          <w:rFonts w:ascii="Times New Roman" w:hAnsi="Times New Roman" w:cs="Times New Roman"/>
          <w:color w:val="000000"/>
        </w:rPr>
        <w:t xml:space="preserve"> i dyskryminacja to jedno z najpoważniejszych zagrożeń spotykanych w wielu firmach.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Dlatego kreowanie bezpiecznego i wspierającego środowiska pracy jest kluczową rolą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pracodawców, sprzyja efektywności pracowników. Dlatego też dialog społeczny stanowi bardzo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ważną funkcję w zapobieganiu tym zjawiskom. Poprzez współpracę między pracodawcami,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pracownikami i związkami zawodowymi możliwe jest wykształcenie umiejętności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 xml:space="preserve">identyfikowania oraz reagowania na </w:t>
      </w:r>
      <w:proofErr w:type="spellStart"/>
      <w:r w:rsidRPr="00E754E3">
        <w:rPr>
          <w:rFonts w:ascii="Times New Roman" w:hAnsi="Times New Roman" w:cs="Times New Roman"/>
          <w:color w:val="000000"/>
        </w:rPr>
        <w:t>mobbing</w:t>
      </w:r>
      <w:proofErr w:type="spellEnd"/>
      <w:r w:rsidRPr="00E754E3">
        <w:rPr>
          <w:rFonts w:ascii="Times New Roman" w:hAnsi="Times New Roman" w:cs="Times New Roman"/>
          <w:color w:val="000000"/>
        </w:rPr>
        <w:t xml:space="preserve"> i dyskryminację na każdym szczeblu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organizacyjnym, co przyczynia się do budowania kultur organizacyjnych opartych na szacunku 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równości.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Szkolenia powinny zatem zawierać tematykę, w ramach której pracodawcy i pracownicy zostaną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wyposażeni w wiedzę i umiejętności m.in.: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do rozpoznawania, rozumienia i przeciwdziałania </w:t>
      </w:r>
      <w:proofErr w:type="spellStart"/>
      <w:r w:rsidRPr="00E754E3">
        <w:rPr>
          <w:rFonts w:ascii="Times New Roman" w:hAnsi="Times New Roman" w:cs="Times New Roman"/>
          <w:color w:val="000000"/>
        </w:rPr>
        <w:t>mobbingowi</w:t>
      </w:r>
      <w:proofErr w:type="spellEnd"/>
      <w:r w:rsidRPr="00E754E3">
        <w:rPr>
          <w:rFonts w:ascii="Times New Roman" w:hAnsi="Times New Roman" w:cs="Times New Roman"/>
          <w:color w:val="000000"/>
        </w:rPr>
        <w:t xml:space="preserve"> w miejscu pracy, co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zwiększy ich uważność na sposób komunikacji i budowania relacji w ich zespołach,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dotyczące różnych formy </w:t>
      </w:r>
      <w:proofErr w:type="spellStart"/>
      <w:r w:rsidRPr="00E754E3">
        <w:rPr>
          <w:rFonts w:ascii="Times New Roman" w:hAnsi="Times New Roman" w:cs="Times New Roman"/>
          <w:color w:val="000000"/>
        </w:rPr>
        <w:t>mobbingu</w:t>
      </w:r>
      <w:proofErr w:type="spellEnd"/>
      <w:r w:rsidRPr="00E754E3">
        <w:rPr>
          <w:rFonts w:ascii="Times New Roman" w:hAnsi="Times New Roman" w:cs="Times New Roman"/>
          <w:color w:val="000000"/>
        </w:rPr>
        <w:t>, jak zrozumieć jego wpływ na zespół oraz jak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 xml:space="preserve">skutecznie reagować i zapobiegać sytuacjom o charakterze </w:t>
      </w:r>
      <w:proofErr w:type="spellStart"/>
      <w:r w:rsidRPr="00E754E3">
        <w:rPr>
          <w:rFonts w:ascii="Times New Roman" w:hAnsi="Times New Roman" w:cs="Times New Roman"/>
          <w:color w:val="000000"/>
        </w:rPr>
        <w:t>mobbingu</w:t>
      </w:r>
      <w:proofErr w:type="spellEnd"/>
      <w:r w:rsidRPr="00E754E3">
        <w:rPr>
          <w:rFonts w:ascii="Times New Roman" w:hAnsi="Times New Roman" w:cs="Times New Roman"/>
          <w:color w:val="000000"/>
        </w:rPr>
        <w:t xml:space="preserve"> w przyszłości,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rozpoznawania/uważności (szczególnie menedżerowie/pracodawcy) na zachowania 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relacje w zespołach.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do promowania bezpiecznego i wspierającego środowiska pracy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na temat skutków społecznych i prawnych </w:t>
      </w:r>
      <w:proofErr w:type="spellStart"/>
      <w:r w:rsidRPr="00E754E3">
        <w:rPr>
          <w:rFonts w:ascii="Times New Roman" w:hAnsi="Times New Roman" w:cs="Times New Roman"/>
          <w:color w:val="000000"/>
        </w:rPr>
        <w:t>mobbingu</w:t>
      </w:r>
      <w:proofErr w:type="spellEnd"/>
      <w:r w:rsidRPr="00E754E3">
        <w:rPr>
          <w:rFonts w:ascii="Times New Roman" w:hAnsi="Times New Roman" w:cs="Times New Roman"/>
          <w:color w:val="000000"/>
        </w:rPr>
        <w:t xml:space="preserve"> lub dyskryminacji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dotyczące wdrażania procedur przeciwdziałania i reagowania na przypadki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nieprawidłowości.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Szkolenia tego typu mają na celu wzmocnienie umiejętności zarządzania, poprawę komunikacji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wewnętrznej oraz stworzenie środowiska opartego na równości, integracji i zaangażowaniu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pracowników. Realizacja tych celów wpływa na budowanie kultury organizacyjnej, która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sprzyja efektywności i zadowoleniu zespołu.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Priorytet ten ma również zachęcać do tworzenia i oferuje wsparcie w zakresie zasad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lastRenderedPageBreak/>
        <w:t>funkcjonowania i działania rad pracowniczych – na poziomie unijnym i poszczególnych krajów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UE. Ma pomóc znaleźć odpowiedź na pytanie jak promować reprezentację pracowniczą w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B2B2B"/>
        </w:rPr>
      </w:pPr>
      <w:r w:rsidRPr="00E754E3">
        <w:rPr>
          <w:rFonts w:ascii="Times New Roman" w:hAnsi="Times New Roman" w:cs="Times New Roman"/>
          <w:color w:val="000000"/>
        </w:rPr>
        <w:t>postaci rad pracowniczych w Polsce. W obliczu wymogu prawnego (u</w:t>
      </w:r>
      <w:r w:rsidRPr="00E754E3">
        <w:rPr>
          <w:rFonts w:ascii="Times New Roman" w:hAnsi="Times New Roman" w:cs="Times New Roman"/>
          <w:color w:val="2B2B2B"/>
        </w:rPr>
        <w:t>stawa z dnia 7 kwietnia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B2B2B"/>
        </w:rPr>
      </w:pPr>
      <w:r w:rsidRPr="00E754E3">
        <w:rPr>
          <w:rFonts w:ascii="Times New Roman" w:hAnsi="Times New Roman" w:cs="Times New Roman"/>
          <w:color w:val="2B2B2B"/>
        </w:rPr>
        <w:t>2006 r</w:t>
      </w:r>
      <w:r w:rsidRPr="00E754E3">
        <w:rPr>
          <w:rFonts w:ascii="Times New Roman" w:hAnsi="Times New Roman" w:cs="Times New Roman"/>
          <w:i/>
          <w:iCs/>
          <w:color w:val="2B2B2B"/>
        </w:rPr>
        <w:t xml:space="preserve">. o informowaniu pracowników i przeprowadzaniu z nimi konsultacji </w:t>
      </w:r>
      <w:r w:rsidRPr="00E754E3">
        <w:rPr>
          <w:rFonts w:ascii="Times New Roman" w:hAnsi="Times New Roman" w:cs="Times New Roman"/>
          <w:color w:val="2B2B2B"/>
        </w:rPr>
        <w:t>(Dz.U. nr 79, poz. 550)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powołania Rady Pracowników przez pracodawców zatrudniających co najmniej 50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pracowników lub na wniosek co najmniej 10% załogi, staje się jasne, jak kluczowe jest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prawidłowe funkcjonowanie tych organów.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Rady Pracowników pełnią istotną rolę w zapewnianiu płynności komunikacji pomiędzy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pracownikami a pracodawcą, szczególnie w przypadkach, gdzie związki zawodowe nie są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obecne.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Priorytet adresowany do wszystkich zainteresowanych pracodawców. Nie ma znaczenia kod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PKD czy profil działalności. Zachęca do tworzenia i oferuje wsparcie w zakresie zasad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funkcjonowania i działania rad pracowniczych – na poziomie unijnym i poszczególnych krajów</w:t>
      </w:r>
    </w:p>
    <w:p w:rsid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UE.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E4B69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754E3">
        <w:rPr>
          <w:rFonts w:ascii="Times New Roman" w:hAnsi="Times New Roman" w:cs="Times New Roman"/>
          <w:b/>
          <w:bCs/>
          <w:color w:val="000000"/>
        </w:rPr>
        <w:t>Priorytet nr 5 Promowanie i wspieranie zdrowia psychicznego oraz tworzenie</w:t>
      </w:r>
      <w:r w:rsidR="008E4B69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8E4B69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Przyjaznych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środowisk pracy poprzez m.in. szkolenia z zakresu </w:t>
      </w:r>
    </w:p>
    <w:p w:rsidR="008E4B69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>zarządzania wiekiem,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radzenia sobie ze stresem, pozytywnej </w:t>
      </w:r>
    </w:p>
    <w:p w:rsidR="008E4B69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psychologii, 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>dobrostanu psychicznego oraz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budowania zdrowej </w:t>
      </w:r>
    </w:p>
    <w:p w:rsid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>i różnorodnej kultury organizacyjnej</w:t>
      </w:r>
      <w:r>
        <w:rPr>
          <w:rFonts w:ascii="Times New Roman" w:hAnsi="Times New Roman" w:cs="Times New Roman"/>
          <w:b/>
          <w:bCs/>
          <w:color w:val="000000"/>
        </w:rPr>
        <w:t>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Zdrowie psychiczne jest tak samo ważne, jak zdrowie fizyczne. Oba te aspekty życia wzajemnie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się dopełniają. Kiedy nasze zdrowie jest w równowadze, możemy sprawnie działać, aktywnie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pracować, uczyć się i funkcjonować. Zaburzenia i choroby zdrowia psychicznego znacznie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utrudniają prowadzenie satysfakcjonującego życia również zawodowego i to bez względu na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wiek. W Polsce oficjalne dane mówią o tym, że na depresję choruje 1,5 miliona osób. Brak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świadomości problemu oraz stygmatyzacja osób dotkniętych chorobami i zaburzeniami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psychicznymi może zaburzać te statystyki i w rzeczywistości chorujących osób może być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znacznie więcej.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Zadbanie o swój dobrostan (i swoich pracowników), zapobieganie wypaleniu zawodowemu,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rozładowywanie nadmiernych napięć pozwala minimalizować rozwinięcie choroby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psychicznej, dlatego tak ważna jest higiena zdrowia psychicznego, którą należy utrzymywać na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co dzień.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Priorytet adresowany do wszystkich pracodawców, bez względu na rodzaj i obszar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prowadzonej działalności, w ramach którego można przeszkolić każdego pracownika czy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pracodawcę bez względu na wykonywaną pracę. Brak jest konkretnych kryteriów dostępu tzn.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że o środki może aplikować każdy zainteresowany pracodawca.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Priorytet ten oferuje wsparcie w zakresie poprawy bardzo szeroko pojętego zdrowia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psychicznego w tym również szkolenia z zakresu działań go wspierających np. organizacji pracy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Przykładem mogą być szkolenia z niestandardowych (elastycznych) form pracy.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Szkolenia dotyczące promowania i wspierania zdrowia psychicznego oraz tworzenia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przyjaznych środowisk pracy powinny obejmować szeroki zakres tematów, które pomagają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zarówno menedżerom, jak i pracownikom tworzyć zdrowe, wspierające i produktywne miejsca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pracy.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Przykładowe obszary, które mogą znaleźć się w zakresie tematycznym szkoleń to: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rola pracodawcy w wspieraniu zdrowia psychicznego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przyczyny i skutki stresu zawodowego, wypalenia zawodowego oraz radzenia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sobie z nimi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skuteczna komunikacja w zespole, budowanie otwartego środowiska pracy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tworzenie przyjaznego środowiska pracy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różnorodność w miejscu pracy, integracja pracowników wywodzących się z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różnych grup pokoleniowych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promowanie równowagi między życiem zawodowym a prywatnym, zdrowego</w:t>
      </w:r>
    </w:p>
    <w:p w:rsid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stylu życia, technik relaksacyjnych i innych metod radzenia sobie ze stresem.</w:t>
      </w:r>
    </w:p>
    <w:p w:rsidR="008E4B69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754E3">
        <w:rPr>
          <w:rFonts w:ascii="Times New Roman" w:hAnsi="Times New Roman" w:cs="Times New Roman"/>
          <w:b/>
          <w:bCs/>
          <w:color w:val="000000"/>
        </w:rPr>
        <w:t>Priorytet nr 6 Wsparcie cudzoziemców, w szczególności w zakresie zdobywania</w:t>
      </w:r>
    </w:p>
    <w:p w:rsid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>wiedzy na temat polskiego prawa pracy i integracji tych osób na rynku pracy</w:t>
      </w:r>
      <w:r>
        <w:rPr>
          <w:rFonts w:ascii="Times New Roman" w:hAnsi="Times New Roman" w:cs="Times New Roman"/>
          <w:b/>
          <w:bCs/>
          <w:color w:val="000000"/>
        </w:rPr>
        <w:t>.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754E3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E754E3" w:rsidRPr="00E754E3">
        <w:rPr>
          <w:rFonts w:ascii="Times New Roman" w:hAnsi="Times New Roman" w:cs="Times New Roman"/>
          <w:color w:val="000000"/>
        </w:rPr>
        <w:t xml:space="preserve">W ramach tego priorytetu mogą być finansowane szkolenia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 xml:space="preserve">tylko </w:t>
      </w:r>
      <w:r w:rsidR="00E754E3" w:rsidRPr="00E754E3">
        <w:rPr>
          <w:rFonts w:ascii="Times New Roman" w:hAnsi="Times New Roman" w:cs="Times New Roman"/>
          <w:color w:val="000000"/>
        </w:rPr>
        <w:t>dla cudzoziemców.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Zdecydowano o rezygnacji z zezwolenia na dostęp dla polskich pracowników (to samo dotyczy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pracodawców), aby środki tego priorytetu skierować tylko na potrzeby pracowników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cudzoziemców. Proszę jednocześnie pamiętać, że szkolenia dla cudzoziemców mogą być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finansowane również w ramach innych priorytetów, o ile spełniają oni kryteria w nich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określone.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Wśród specyficznych potrzeb pracowników cudzoziemskich wskazać można w szczególności: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doskonalenie znajomości języka polskiego oraz innych niezbędnych do pracy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języków, szczególnie w kontekście słownictwa specyficznego dla danego zawodu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/ branży;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doskonalenie wiedzy z zakresu specyfiki polskich i unijnych regulacji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dotyczących wykonywania określonego zawodu;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rozwój miękkich kompetencji, w tym komunikacyjnych, uwzględniających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konieczność dostosowania się do kultury organizacyjnej polskich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przedsiębiorstw i innych podmiotów, zatrudniających cudzoziemców.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Należy pamiętać, że powyższa lista nie jest katalogiem zamkniętym i każdy pracodawca może</w:t>
      </w:r>
    </w:p>
    <w:p w:rsid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określić własną listę potrzeb.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754E3">
        <w:rPr>
          <w:rFonts w:ascii="Times New Roman" w:hAnsi="Times New Roman" w:cs="Times New Roman"/>
          <w:b/>
          <w:bCs/>
          <w:color w:val="000000"/>
        </w:rPr>
        <w:t>Priorytet nr 7 Wsparcie rozwoju umiejętności i kwalifikacji niezbędnych w sektorze</w:t>
      </w:r>
    </w:p>
    <w:p w:rsid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>usług zdrowotnych i opiekuńczych</w:t>
      </w:r>
      <w:r>
        <w:rPr>
          <w:rFonts w:ascii="Times New Roman" w:hAnsi="Times New Roman" w:cs="Times New Roman"/>
          <w:b/>
          <w:bCs/>
          <w:color w:val="000000"/>
        </w:rPr>
        <w:t>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Zgodnie z ustawą z dnia 15 kwietnia 2011 r. o działalności leczniczej (</w:t>
      </w:r>
      <w:proofErr w:type="spellStart"/>
      <w:r w:rsidRPr="00E754E3">
        <w:rPr>
          <w:rFonts w:ascii="Times New Roman" w:hAnsi="Times New Roman" w:cs="Times New Roman"/>
          <w:color w:val="000000"/>
        </w:rPr>
        <w:t>t.j</w:t>
      </w:r>
      <w:proofErr w:type="spellEnd"/>
      <w:r w:rsidRPr="00E754E3">
        <w:rPr>
          <w:rFonts w:ascii="Times New Roman" w:hAnsi="Times New Roman" w:cs="Times New Roman"/>
          <w:color w:val="000000"/>
        </w:rPr>
        <w:t>. Dz.U. z 2024 r., poz.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799) świadczeniami zdrowotnymi są działania służące zachowaniu, ratowaniu, przywracaniu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lub poprawie zdrowia oraz inne działania medyczne wynikające z procesu leczenia. Udzielanie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świadczeń zdrowotnych odbywa się w ramach działalności leczniczej. Ustawodawca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wyodrębnił przy tym jej dwa rodzaje – polegającą na: stacjonarnym i całodobowym udzielaniu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świadczeń zdrowotnych oraz ambulatoryjnym udzielaniu świadczeń zdrowotnych – czyli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 warunkach niewymagających udzielania świadczeń w trybie stacjonarnym i całodobowym.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Obecnie, biorąc pod uwagę stan zdrowia społeczeństwa i nasilający się proces starzenia rosną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potrzeby rozwoju usług opiekuńczych i opieki zdrowotnej. Potrzeba jest coraz więcej dobrze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wyszkolonych i posiadających umiejętności na wysokim poziomie osób zatrudnionych w tych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sektorach. Celem wprowadzenia niniejszego priorytetu jest chęć wsparcia osób zatrudnionych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 sektorze usług zdrowotnych i opiekuńczych.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Warunkiem skorzystania z dostępnych środków jest oświadczenie pracodawcy o konieczności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odbycia wnioskowanego szkolenia lub nabycia określonych umiejętności z zakresu usług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zdrowotnych i opiekuńczych. Dostęp do priorytetu ma każdy pracodawca posiadający PKD w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Sekcji Q tj. Opieka zdrowotna i pomoc społeczna w działach 86 – Opieka zdrowotna, 87-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Pomoc społeczna z zakwaterowaniem, 88 – Pomoc społeczna bez zakwaterowania. W ramach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tego priorytetu można dofinansować dopuszczalne ustawą formy kształcenia ustawicznego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bezpośrednio związane z szeroko pojętą opieką zdrowotną czy opieką społeczną. Należy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jednak pamiętać, że w ramach KFS nie można finansować tych samych szkoleń, na które</w:t>
      </w:r>
    </w:p>
    <w:p w:rsid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przeznaczone są inne środki publiczne np. środki na specjalizacje pielęgniarek i położnych.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E4B69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754E3">
        <w:rPr>
          <w:rFonts w:ascii="Times New Roman" w:hAnsi="Times New Roman" w:cs="Times New Roman"/>
          <w:b/>
          <w:bCs/>
          <w:color w:val="000000"/>
        </w:rPr>
        <w:t xml:space="preserve">Priorytet nr 8 Rozwój umiejętności cyfrowych </w:t>
      </w:r>
    </w:p>
    <w:p w:rsidR="008E4B69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Propozycja tego priorytetu wynika z faktu, że postęp technologiczny i cyfrowy jest coraz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bardziej obecny w życiu każdego człowieka i będzie skutkować istotnymi zmianami w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strukturze zatrudnienia oraz popycie na konkretne zawody i umiejętności. Bardzo ważne jest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aby osoby funkcjonujące na rynku pracy były wyposażone w umiejętności, które nie będą się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lastRenderedPageBreak/>
        <w:t>szybko dezaktualizować i pozwolą na stały rozwój posiadanego doświadczenia,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wiedzy i umiejętności. Z punktu widzenia pracodawców w perspektywie wieloletniej ważne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będzie to, by kadry gospodarki dysponowały nowoczesnymi umiejętnościami, potrzebnymi</w:t>
      </w:r>
    </w:p>
    <w:p w:rsidR="00E754E3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 </w:t>
      </w:r>
      <w:proofErr w:type="spellStart"/>
      <w:r>
        <w:rPr>
          <w:rFonts w:ascii="Times New Roman" w:hAnsi="Times New Roman" w:cs="Times New Roman"/>
          <w:color w:val="000000"/>
        </w:rPr>
        <w:t>s</w:t>
      </w:r>
      <w:r w:rsidR="00E754E3" w:rsidRPr="00E754E3">
        <w:rPr>
          <w:rFonts w:ascii="Times New Roman" w:hAnsi="Times New Roman" w:cs="Times New Roman"/>
          <w:color w:val="000000"/>
        </w:rPr>
        <w:t>cyfryzowanych</w:t>
      </w:r>
      <w:proofErr w:type="spellEnd"/>
      <w:r w:rsidR="00E754E3" w:rsidRPr="00E754E3">
        <w:rPr>
          <w:rFonts w:ascii="Times New Roman" w:hAnsi="Times New Roman" w:cs="Times New Roman"/>
          <w:color w:val="000000"/>
        </w:rPr>
        <w:t xml:space="preserve"> branżach oraz gospodarce obiegu zamkniętego.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Składając stosowny wniosek o dofinansowanie podnoszenia kompetencji cyfrowych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Wnioskodawca w uzasadnieniu powinien wykazać, że posiadanie konkretnych umiejętności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cyfrowych, które objęte są tematyką wnioskowanego szkolenia, jest powiązane z pracą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wykonywaną przez osobę kierowaną na szkolenie.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 przypadku niniejszego priorytetu należy również pamiętać, że w obszarze kompetencji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cyfrowych granica pomiędzy szkoleniami zawodowymi, a tzw. miękkimi nie jest jednoznaczna.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Kompetencje cyfrowe obejmują również zagadnienia związane z komunikowaniem się,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umiejętnościami korzystania z mediów, umiejętnościami wyszukiwania i korzystania z różnego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 xml:space="preserve">typu danych w formie elektronicznej czy </w:t>
      </w:r>
      <w:proofErr w:type="spellStart"/>
      <w:r w:rsidRPr="00E754E3">
        <w:rPr>
          <w:rFonts w:ascii="Times New Roman" w:hAnsi="Times New Roman" w:cs="Times New Roman"/>
          <w:color w:val="000000"/>
        </w:rPr>
        <w:t>cyberbezpieczeństwem</w:t>
      </w:r>
      <w:proofErr w:type="spellEnd"/>
      <w:r w:rsidRPr="00E754E3">
        <w:rPr>
          <w:rFonts w:ascii="Times New Roman" w:hAnsi="Times New Roman" w:cs="Times New Roman"/>
          <w:color w:val="000000"/>
        </w:rPr>
        <w:t>. W każdej dziedzinie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gospodarki i w większości współczesnych zawodów kompetencje cyfrowe nabierają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kluczowego znaczenia. Dlatego pracodawcy coraz częściej poszukują takich pracowników,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którzy będą rozumieć potrzebę funkcjonowania w cyfrowym świecie i – przede wszystkim –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sprawnie i twórczo posługiwać się narzędziami nowych technologii. Kompetencje cyfrowe to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nie tylko obsługa komputera i programów. Wraz z postępem technologicznym zmienia się ich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zakres. Dziś kompetencje cyfrowe to także umiejętności korzystania z danych i informacji,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umiejętności porozumiewania się i współpracy, tworzenie treści cyfrowych, programowanie,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 xml:space="preserve">kompetencje związane z </w:t>
      </w:r>
      <w:proofErr w:type="spellStart"/>
      <w:r w:rsidRPr="00E754E3">
        <w:rPr>
          <w:rFonts w:ascii="Times New Roman" w:hAnsi="Times New Roman" w:cs="Times New Roman"/>
          <w:color w:val="000000"/>
        </w:rPr>
        <w:t>cyberbezpieczeństwem</w:t>
      </w:r>
      <w:proofErr w:type="spellEnd"/>
      <w:r w:rsidRPr="00E754E3">
        <w:rPr>
          <w:rFonts w:ascii="Times New Roman" w:hAnsi="Times New Roman" w:cs="Times New Roman"/>
          <w:color w:val="000000"/>
        </w:rPr>
        <w:t>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 jednej strony zapotrzebowanie na kompetencje cyfrowe stale rośnie, ponieważ pojawiają się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nowe zawody i kwalifikacje, które wymagają od pracowników nowych umiejętności,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a poruszanie się w cyfrowej rzeczywistości staje się tak samo ważne jak umiejętność czytania 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pisania.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 drugiej strony deficyty kompetencji cyfrowych można znaleźć w praktycznie każdej grupie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zawodowej: wśród menedżerów i techników, wśród sprzedawców i pracowników biurowych.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Te deficyty ograniczają możliwość rozwoju przedsiębiorstw.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Nowe zawody związane z rewolucją cyfrową to nie tylko domena branży IT, jak na przykład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specjalista big data (osoba, która zajmuje się analizowaniem i przygotowywaniem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rekomendacji biznesowych z ogromnych zbiorów danych) czy specjalista do spraw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E754E3">
        <w:rPr>
          <w:rFonts w:ascii="Times New Roman" w:hAnsi="Times New Roman" w:cs="Times New Roman"/>
          <w:color w:val="000000"/>
        </w:rPr>
        <w:t>cyberbezpieczeństwa</w:t>
      </w:r>
      <w:proofErr w:type="spellEnd"/>
      <w:r w:rsidRPr="00E754E3">
        <w:rPr>
          <w:rFonts w:ascii="Times New Roman" w:hAnsi="Times New Roman" w:cs="Times New Roman"/>
          <w:color w:val="000000"/>
        </w:rPr>
        <w:t xml:space="preserve"> (przeciwdziała zagrożeniom płynącym z </w:t>
      </w:r>
      <w:proofErr w:type="spellStart"/>
      <w:r w:rsidRPr="00E754E3">
        <w:rPr>
          <w:rFonts w:ascii="Times New Roman" w:hAnsi="Times New Roman" w:cs="Times New Roman"/>
          <w:color w:val="000000"/>
        </w:rPr>
        <w:t>internetu</w:t>
      </w:r>
      <w:proofErr w:type="spellEnd"/>
      <w:r w:rsidRPr="00E754E3">
        <w:rPr>
          <w:rFonts w:ascii="Times New Roman" w:hAnsi="Times New Roman" w:cs="Times New Roman"/>
          <w:color w:val="000000"/>
        </w:rPr>
        <w:t>). To także zawody,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 xml:space="preserve">takie jak </w:t>
      </w:r>
      <w:proofErr w:type="spellStart"/>
      <w:r w:rsidRPr="00E754E3">
        <w:rPr>
          <w:rFonts w:ascii="Times New Roman" w:hAnsi="Times New Roman" w:cs="Times New Roman"/>
          <w:color w:val="000000"/>
        </w:rPr>
        <w:t>traffic</w:t>
      </w:r>
      <w:proofErr w:type="spellEnd"/>
      <w:r w:rsidRPr="00E754E3">
        <w:rPr>
          <w:rFonts w:ascii="Times New Roman" w:hAnsi="Times New Roman" w:cs="Times New Roman"/>
          <w:color w:val="000000"/>
        </w:rPr>
        <w:t xml:space="preserve"> manager (zajmuje się analizowaniem ruchu na stronach www) czy też menedżer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inteligentnych domów, które posiadają system czujników i detektorów oraz zintegrowany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system zarządzania (</w:t>
      </w:r>
      <w:r w:rsidRPr="00E754E3">
        <w:rPr>
          <w:rFonts w:ascii="Times New Roman" w:hAnsi="Times New Roman" w:cs="Times New Roman"/>
          <w:color w:val="0000FF"/>
        </w:rPr>
        <w:t>https://www.biznes.gov.pl/pl/portal/004171</w:t>
      </w:r>
      <w:r w:rsidRPr="00E754E3">
        <w:rPr>
          <w:rFonts w:ascii="Times New Roman" w:hAnsi="Times New Roman" w:cs="Times New Roman"/>
          <w:color w:val="000000"/>
        </w:rPr>
        <w:t>).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Należy pamiętać, że PKD Wnioskodawcy nie jest w tym przypadku istotne. Dotyczy wszystkich</w:t>
      </w:r>
    </w:p>
    <w:p w:rsid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wnioskodawców.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754E3">
        <w:rPr>
          <w:rFonts w:ascii="Times New Roman" w:hAnsi="Times New Roman" w:cs="Times New Roman"/>
          <w:b/>
          <w:bCs/>
          <w:color w:val="000000"/>
        </w:rPr>
        <w:t>Priorytet nr 9 Wsparcie rozwoju umiejętności związanych z transformacją</w:t>
      </w:r>
    </w:p>
    <w:p w:rsid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</w:t>
      </w:r>
      <w:r w:rsidRPr="00E754E3">
        <w:rPr>
          <w:rFonts w:ascii="Times New Roman" w:hAnsi="Times New Roman" w:cs="Times New Roman"/>
          <w:b/>
          <w:bCs/>
          <w:color w:val="000000"/>
        </w:rPr>
        <w:t>E</w:t>
      </w:r>
      <w:r w:rsidR="00E754E3" w:rsidRPr="00E754E3">
        <w:rPr>
          <w:rFonts w:ascii="Times New Roman" w:hAnsi="Times New Roman" w:cs="Times New Roman"/>
          <w:b/>
          <w:bCs/>
          <w:color w:val="000000"/>
        </w:rPr>
        <w:t>nergetyczną</w:t>
      </w:r>
      <w:r>
        <w:rPr>
          <w:rFonts w:ascii="Times New Roman" w:hAnsi="Times New Roman" w:cs="Times New Roman"/>
          <w:b/>
          <w:bCs/>
          <w:color w:val="000000"/>
        </w:rPr>
        <w:t>.</w:t>
      </w:r>
    </w:p>
    <w:p w:rsidR="008E4B69" w:rsidRPr="00E754E3" w:rsidRDefault="008E4B69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Transformacja energetyczna to długotrwały proces modyfikacji gospodarki i sieci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energetycznych, aby były bardziej zrównoważone, mniej zależne od paliw kopalnych i bardziej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efektywne energetycznie. Celem transformacji energetycznej jest zmniejszenie szkód dla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klimatu, zdrowia publicznego i środowiska naturalnego.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W Polsce ma oznaczać ona rozwój i przebudowę polskiej energetyki zgodnie z celami polityki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klimatyczno-energetycznej. Przyjęto, że ma opierać się na trzech filarach: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</w:t>
      </w:r>
      <w:r w:rsidRPr="00E754E3">
        <w:rPr>
          <w:rFonts w:ascii="Times New Roman" w:hAnsi="Times New Roman" w:cs="Times New Roman"/>
          <w:b/>
          <w:bCs/>
          <w:color w:val="000000"/>
        </w:rPr>
        <w:t xml:space="preserve">dekarbonizacja </w:t>
      </w:r>
      <w:r w:rsidRPr="00E754E3">
        <w:rPr>
          <w:rFonts w:ascii="Times New Roman" w:hAnsi="Times New Roman" w:cs="Times New Roman"/>
          <w:color w:val="000000"/>
        </w:rPr>
        <w:t>– czyli redukcja emisji gazów cieplarnianych i rozwój OZE,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</w:t>
      </w:r>
      <w:r w:rsidRPr="00E754E3">
        <w:rPr>
          <w:rFonts w:ascii="Times New Roman" w:hAnsi="Times New Roman" w:cs="Times New Roman"/>
          <w:b/>
          <w:bCs/>
          <w:color w:val="000000"/>
        </w:rPr>
        <w:t xml:space="preserve">decentralizacja </w:t>
      </w:r>
      <w:r w:rsidRPr="00E754E3">
        <w:rPr>
          <w:rFonts w:ascii="Times New Roman" w:hAnsi="Times New Roman" w:cs="Times New Roman"/>
          <w:color w:val="000000"/>
        </w:rPr>
        <w:t>– dotyczy odejścia od dużych elektrowni na rzecz rozproszonych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odnawialnych źródeł energii o mniejszej mocy,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Segoe UI Symbol" w:hAnsi="Segoe UI Symbol" w:cs="Segoe UI Symbol"/>
          <w:color w:val="000000"/>
        </w:rPr>
        <w:t>✓</w:t>
      </w:r>
      <w:r w:rsidRPr="00E754E3">
        <w:rPr>
          <w:rFonts w:ascii="Times New Roman" w:hAnsi="Times New Roman" w:cs="Times New Roman"/>
          <w:color w:val="000000"/>
        </w:rPr>
        <w:t xml:space="preserve"> </w:t>
      </w:r>
      <w:r w:rsidRPr="00E754E3">
        <w:rPr>
          <w:rFonts w:ascii="Times New Roman" w:hAnsi="Times New Roman" w:cs="Times New Roman"/>
          <w:b/>
          <w:bCs/>
          <w:color w:val="000000"/>
        </w:rPr>
        <w:t xml:space="preserve">digitalizacja </w:t>
      </w:r>
      <w:r w:rsidRPr="00E754E3">
        <w:rPr>
          <w:rFonts w:ascii="Times New Roman" w:hAnsi="Times New Roman" w:cs="Times New Roman"/>
          <w:color w:val="000000"/>
        </w:rPr>
        <w:t>– to postawienie na infrastrukturę informatyczną, dzięki której możliwe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będzie np. wprowadzenie taryf dynamicznych (czyli takich, w których końcowa opłata za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energię jest bezpośrednio powiązana z bieżącymi cenami na hurtowym rynku energii).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Priorytet niniejszy adresowany jest do wszystkich pracodawców, którzy w jakikolwiek sposób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lastRenderedPageBreak/>
        <w:t>chcą przyczynić się do realizacji założonych celów transformacji energetycznej np. przejścia z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energetyki tradycyjnej, na przykład węglowej, do bardziej przyjaznych środowisku źródeł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energii np. wiatraków czy farm fotowoltaicznych. Będą również mogły być finansowane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szkolenia mające na celu rozwój tzw. zielonych kompetencji czyli zestawu umiejętności</w:t>
      </w:r>
    </w:p>
    <w:p w:rsidR="00E754E3" w:rsidRPr="00E754E3" w:rsidRDefault="00E754E3" w:rsidP="008E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754E3">
        <w:rPr>
          <w:rFonts w:ascii="Times New Roman" w:hAnsi="Times New Roman" w:cs="Times New Roman"/>
          <w:color w:val="000000"/>
        </w:rPr>
        <w:t>pozwalających na działania na rzecz zrównoważonego rozwoju. W ramach tego priorytetu</w:t>
      </w:r>
    </w:p>
    <w:p w:rsidR="00A96FC5" w:rsidRPr="00E754E3" w:rsidRDefault="00E754E3" w:rsidP="008E4B69">
      <w:pPr>
        <w:jc w:val="both"/>
        <w:rPr>
          <w:rFonts w:ascii="Times New Roman" w:hAnsi="Times New Roman" w:cs="Times New Roman"/>
        </w:rPr>
      </w:pPr>
      <w:r w:rsidRPr="00E754E3">
        <w:rPr>
          <w:rFonts w:ascii="Times New Roman" w:hAnsi="Times New Roman" w:cs="Times New Roman"/>
          <w:color w:val="000000"/>
        </w:rPr>
        <w:t>mogą być finansowane również szkolenia w obszarze szeroko pojętej ekologii.</w:t>
      </w:r>
    </w:p>
    <w:sectPr w:rsidR="00A96FC5" w:rsidRPr="00E75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4E3"/>
    <w:rsid w:val="002669C3"/>
    <w:rsid w:val="008E4B69"/>
    <w:rsid w:val="00A96FC5"/>
    <w:rsid w:val="00E7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C326C-29AB-49F4-A1FD-4DE48B50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9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3269</Words>
  <Characters>19614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Pluta</dc:creator>
  <cp:keywords/>
  <dc:description/>
  <cp:lastModifiedBy>Anna Pluta</cp:lastModifiedBy>
  <cp:revision>3</cp:revision>
  <dcterms:created xsi:type="dcterms:W3CDTF">2025-01-09T12:39:00Z</dcterms:created>
  <dcterms:modified xsi:type="dcterms:W3CDTF">2025-01-09T13:01:00Z</dcterms:modified>
</cp:coreProperties>
</file>